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08967">
      <w:pPr>
        <w:spacing w:line="360" w:lineRule="auto"/>
        <w:jc w:val="center"/>
        <w:rPr>
          <w:rFonts w:ascii="宋体" w:hAnsi="宋体"/>
          <w:b/>
          <w:color w:val="FF0000"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南京信息工程大学听课记录表（理论课）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63"/>
        <w:gridCol w:w="1426"/>
        <w:gridCol w:w="10"/>
        <w:gridCol w:w="1265"/>
        <w:gridCol w:w="1559"/>
        <w:gridCol w:w="272"/>
        <w:gridCol w:w="1140"/>
        <w:gridCol w:w="1472"/>
      </w:tblGrid>
      <w:tr w14:paraId="1C0F8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gridSpan w:val="2"/>
            <w:vAlign w:val="center"/>
          </w:tcPr>
          <w:p w14:paraId="0875151B">
            <w:pPr>
              <w:snapToGrid w:val="0"/>
              <w:rPr>
                <w:rFonts w:eastAsia="黑体"/>
                <w:sz w:val="20"/>
              </w:rPr>
            </w:pPr>
            <w:r>
              <w:rPr>
                <w:rFonts w:hint="eastAsia" w:eastAsia="黑体"/>
                <w:sz w:val="20"/>
              </w:rPr>
              <w:t>授课教师</w:t>
            </w:r>
            <w:r>
              <w:rPr>
                <w:rFonts w:eastAsia="黑体"/>
                <w:sz w:val="20"/>
              </w:rPr>
              <w:t xml:space="preserve"> </w:t>
            </w:r>
          </w:p>
        </w:tc>
        <w:tc>
          <w:tcPr>
            <w:tcW w:w="1426" w:type="dxa"/>
            <w:vAlign w:val="center"/>
          </w:tcPr>
          <w:p w14:paraId="0EB75F17">
            <w:pPr>
              <w:snapToGrid w:val="0"/>
              <w:rPr>
                <w:rFonts w:eastAsia="黑体"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BC7A443">
            <w:pPr>
              <w:snapToGrid w:val="0"/>
              <w:rPr>
                <w:rFonts w:eastAsia="黑体"/>
                <w:sz w:val="20"/>
              </w:rPr>
            </w:pPr>
            <w:r>
              <w:rPr>
                <w:rFonts w:hint="eastAsia" w:eastAsia="黑体"/>
                <w:sz w:val="20"/>
              </w:rPr>
              <w:t>开课单位</w:t>
            </w:r>
          </w:p>
        </w:tc>
        <w:tc>
          <w:tcPr>
            <w:tcW w:w="1559" w:type="dxa"/>
            <w:vAlign w:val="center"/>
          </w:tcPr>
          <w:p w14:paraId="24F56CF1">
            <w:pPr>
              <w:snapToGrid w:val="0"/>
              <w:rPr>
                <w:rFonts w:eastAsia="黑体"/>
                <w:sz w:val="20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766121C7">
            <w:pPr>
              <w:snapToGrid w:val="0"/>
              <w:rPr>
                <w:rFonts w:eastAsia="黑体"/>
                <w:sz w:val="20"/>
              </w:rPr>
            </w:pPr>
            <w:r>
              <w:rPr>
                <w:rFonts w:hint="eastAsia" w:eastAsia="黑体"/>
                <w:sz w:val="20"/>
              </w:rPr>
              <w:t>课程名称</w:t>
            </w:r>
          </w:p>
        </w:tc>
        <w:tc>
          <w:tcPr>
            <w:tcW w:w="1472" w:type="dxa"/>
            <w:vAlign w:val="center"/>
          </w:tcPr>
          <w:p w14:paraId="0759D365">
            <w:pPr>
              <w:snapToGrid w:val="0"/>
              <w:rPr>
                <w:rFonts w:eastAsia="黑体"/>
                <w:sz w:val="20"/>
              </w:rPr>
            </w:pPr>
          </w:p>
        </w:tc>
      </w:tr>
      <w:tr w14:paraId="16AEC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gridSpan w:val="2"/>
            <w:vAlign w:val="center"/>
          </w:tcPr>
          <w:p w14:paraId="1A9A9CC7">
            <w:pPr>
              <w:snapToGrid w:val="0"/>
              <w:rPr>
                <w:rFonts w:eastAsia="黑体"/>
                <w:sz w:val="20"/>
              </w:rPr>
            </w:pPr>
            <w:r>
              <w:rPr>
                <w:rFonts w:hint="eastAsia" w:eastAsia="黑体"/>
                <w:sz w:val="20"/>
              </w:rPr>
              <w:t>授课班级</w:t>
            </w:r>
          </w:p>
        </w:tc>
        <w:tc>
          <w:tcPr>
            <w:tcW w:w="1436" w:type="dxa"/>
            <w:gridSpan w:val="2"/>
            <w:vAlign w:val="center"/>
          </w:tcPr>
          <w:p w14:paraId="387D3584">
            <w:pPr>
              <w:snapToGrid w:val="0"/>
              <w:rPr>
                <w:rFonts w:eastAsia="黑体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367ADDC6">
            <w:pPr>
              <w:snapToGrid w:val="0"/>
              <w:rPr>
                <w:rFonts w:eastAsia="黑体"/>
                <w:sz w:val="20"/>
              </w:rPr>
            </w:pPr>
            <w:r>
              <w:rPr>
                <w:rFonts w:hint="eastAsia" w:eastAsia="黑体"/>
                <w:sz w:val="20"/>
              </w:rPr>
              <w:t>授课地点</w:t>
            </w:r>
          </w:p>
        </w:tc>
        <w:tc>
          <w:tcPr>
            <w:tcW w:w="1559" w:type="dxa"/>
            <w:vAlign w:val="center"/>
          </w:tcPr>
          <w:p w14:paraId="229AC016">
            <w:pPr>
              <w:snapToGrid w:val="0"/>
              <w:rPr>
                <w:rFonts w:eastAsia="黑体"/>
                <w:sz w:val="20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25C7C697">
            <w:pPr>
              <w:snapToGrid w:val="0"/>
              <w:rPr>
                <w:rFonts w:eastAsia="黑体"/>
                <w:sz w:val="20"/>
              </w:rPr>
            </w:pPr>
            <w:r>
              <w:rPr>
                <w:rFonts w:hint="eastAsia" w:eastAsia="黑体"/>
                <w:sz w:val="20"/>
              </w:rPr>
              <w:t>授课时间</w:t>
            </w:r>
          </w:p>
        </w:tc>
        <w:tc>
          <w:tcPr>
            <w:tcW w:w="1472" w:type="dxa"/>
            <w:vAlign w:val="center"/>
          </w:tcPr>
          <w:p w14:paraId="7C1A43FA">
            <w:pPr>
              <w:snapToGrid w:val="0"/>
              <w:rPr>
                <w:rFonts w:eastAsia="黑体"/>
                <w:sz w:val="20"/>
              </w:rPr>
            </w:pPr>
          </w:p>
        </w:tc>
      </w:tr>
      <w:tr w14:paraId="16CC7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gridSpan w:val="2"/>
            <w:vAlign w:val="center"/>
          </w:tcPr>
          <w:p w14:paraId="49E37C35">
            <w:pPr>
              <w:snapToGrid w:val="0"/>
              <w:rPr>
                <w:rFonts w:eastAsia="黑体"/>
                <w:sz w:val="20"/>
              </w:rPr>
            </w:pPr>
            <w:r>
              <w:rPr>
                <w:rFonts w:hint="eastAsia" w:eastAsia="黑体"/>
                <w:sz w:val="20"/>
              </w:rPr>
              <w:t>实到人数</w:t>
            </w:r>
          </w:p>
        </w:tc>
        <w:tc>
          <w:tcPr>
            <w:tcW w:w="1436" w:type="dxa"/>
            <w:gridSpan w:val="2"/>
            <w:vAlign w:val="center"/>
          </w:tcPr>
          <w:p w14:paraId="3720D3B9">
            <w:pPr>
              <w:snapToGrid w:val="0"/>
              <w:rPr>
                <w:rFonts w:eastAsia="黑体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01672B37">
            <w:pPr>
              <w:snapToGrid w:val="0"/>
              <w:rPr>
                <w:rFonts w:eastAsia="黑体"/>
                <w:sz w:val="20"/>
              </w:rPr>
            </w:pPr>
            <w:r>
              <w:rPr>
                <w:rFonts w:hint="eastAsia" w:eastAsia="黑体"/>
                <w:sz w:val="20"/>
              </w:rPr>
              <w:t>应到人数</w:t>
            </w:r>
          </w:p>
        </w:tc>
        <w:tc>
          <w:tcPr>
            <w:tcW w:w="1559" w:type="dxa"/>
            <w:vAlign w:val="center"/>
          </w:tcPr>
          <w:p w14:paraId="6DF189A3">
            <w:pPr>
              <w:snapToGrid w:val="0"/>
              <w:rPr>
                <w:rFonts w:eastAsia="黑体"/>
                <w:sz w:val="20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663A15F2">
            <w:pPr>
              <w:snapToGrid w:val="0"/>
              <w:rPr>
                <w:rFonts w:eastAsia="黑体"/>
                <w:sz w:val="20"/>
              </w:rPr>
            </w:pPr>
            <w:r>
              <w:rPr>
                <w:rFonts w:eastAsia="黑体"/>
                <w:sz w:val="20"/>
              </w:rPr>
              <w:t>听课地点</w:t>
            </w:r>
          </w:p>
        </w:tc>
        <w:tc>
          <w:tcPr>
            <w:tcW w:w="1472" w:type="dxa"/>
            <w:vAlign w:val="center"/>
          </w:tcPr>
          <w:p w14:paraId="5D68C14D">
            <w:pPr>
              <w:snapToGrid w:val="0"/>
              <w:rPr>
                <w:rFonts w:eastAsia="黑体"/>
                <w:sz w:val="20"/>
              </w:rPr>
            </w:pPr>
          </w:p>
        </w:tc>
      </w:tr>
      <w:tr w14:paraId="17FA5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8" w:type="dxa"/>
            <w:gridSpan w:val="9"/>
            <w:vAlign w:val="center"/>
          </w:tcPr>
          <w:p w14:paraId="3E3FDFB1">
            <w:pPr>
              <w:snapToGrid w:val="0"/>
              <w:ind w:right="209"/>
              <w:rPr>
                <w:rFonts w:eastAsia="黑体"/>
                <w:sz w:val="20"/>
              </w:rPr>
            </w:pPr>
            <w:r>
              <w:rPr>
                <w:rFonts w:hint="eastAsia" w:eastAsia="黑体"/>
                <w:sz w:val="20"/>
              </w:rPr>
              <w:t>授课内容摘要：</w:t>
            </w:r>
          </w:p>
          <w:p w14:paraId="33756444">
            <w:pPr>
              <w:snapToGrid w:val="0"/>
              <w:ind w:right="209"/>
              <w:rPr>
                <w:rFonts w:eastAsia="黑体"/>
                <w:sz w:val="20"/>
              </w:rPr>
            </w:pPr>
          </w:p>
          <w:p w14:paraId="39944BD0">
            <w:pPr>
              <w:snapToGrid w:val="0"/>
              <w:ind w:right="209"/>
              <w:rPr>
                <w:rFonts w:eastAsia="黑体"/>
                <w:sz w:val="20"/>
              </w:rPr>
            </w:pPr>
          </w:p>
          <w:p w14:paraId="092D2C81">
            <w:pPr>
              <w:snapToGrid w:val="0"/>
              <w:ind w:right="209"/>
              <w:rPr>
                <w:rFonts w:eastAsia="黑体"/>
                <w:sz w:val="20"/>
              </w:rPr>
            </w:pPr>
          </w:p>
          <w:p w14:paraId="2510FE59">
            <w:pPr>
              <w:snapToGrid w:val="0"/>
              <w:rPr>
                <w:rFonts w:eastAsia="黑体"/>
                <w:sz w:val="20"/>
              </w:rPr>
            </w:pPr>
          </w:p>
        </w:tc>
      </w:tr>
      <w:tr w14:paraId="3CBCF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1" w:type="dxa"/>
            <w:vAlign w:val="center"/>
          </w:tcPr>
          <w:p w14:paraId="7A4D18ED">
            <w:pPr>
              <w:snapToGrid w:val="0"/>
              <w:jc w:val="center"/>
              <w:rPr>
                <w:rFonts w:ascii="黑体" w:hAnsi="黑体" w:eastAsia="黑体"/>
                <w:sz w:val="20"/>
              </w:rPr>
            </w:pPr>
            <w:r>
              <w:rPr>
                <w:rFonts w:hint="eastAsia" w:ascii="黑体" w:hAnsi="黑体" w:eastAsia="黑体"/>
                <w:b/>
                <w:sz w:val="20"/>
              </w:rPr>
              <w:t>评价维度</w:t>
            </w:r>
          </w:p>
        </w:tc>
        <w:tc>
          <w:tcPr>
            <w:tcW w:w="4695" w:type="dxa"/>
            <w:gridSpan w:val="6"/>
            <w:vAlign w:val="center"/>
          </w:tcPr>
          <w:p w14:paraId="7AC23913">
            <w:pPr>
              <w:snapToGrid w:val="0"/>
              <w:jc w:val="center"/>
              <w:rPr>
                <w:rFonts w:ascii="黑体" w:hAnsi="黑体" w:eastAsia="黑体"/>
                <w:sz w:val="20"/>
              </w:rPr>
            </w:pPr>
            <w:r>
              <w:rPr>
                <w:rFonts w:hint="eastAsia" w:ascii="黑体" w:hAnsi="黑体" w:eastAsia="黑体"/>
                <w:b/>
                <w:sz w:val="20"/>
              </w:rPr>
              <w:t>评 价 内 容</w:t>
            </w:r>
          </w:p>
        </w:tc>
        <w:tc>
          <w:tcPr>
            <w:tcW w:w="1140" w:type="dxa"/>
            <w:vAlign w:val="center"/>
          </w:tcPr>
          <w:p w14:paraId="08148D36">
            <w:pPr>
              <w:snapToGrid w:val="0"/>
              <w:jc w:val="center"/>
              <w:rPr>
                <w:rFonts w:eastAsia="黑体"/>
                <w:b/>
                <w:sz w:val="20"/>
              </w:rPr>
            </w:pPr>
            <w:r>
              <w:rPr>
                <w:rFonts w:eastAsia="黑体"/>
                <w:b/>
                <w:sz w:val="20"/>
              </w:rPr>
              <w:t>赋分</w:t>
            </w:r>
          </w:p>
        </w:tc>
        <w:tc>
          <w:tcPr>
            <w:tcW w:w="1472" w:type="dxa"/>
            <w:vAlign w:val="center"/>
          </w:tcPr>
          <w:p w14:paraId="1779F51C">
            <w:pPr>
              <w:snapToGrid w:val="0"/>
              <w:jc w:val="center"/>
              <w:rPr>
                <w:rFonts w:ascii="黑体" w:hAnsi="黑体" w:eastAsia="黑体"/>
                <w:sz w:val="20"/>
              </w:rPr>
            </w:pPr>
            <w:r>
              <w:rPr>
                <w:rFonts w:hint="eastAsia" w:ascii="黑体" w:hAnsi="黑体" w:eastAsia="黑体"/>
                <w:b/>
                <w:sz w:val="20"/>
              </w:rPr>
              <w:t>得分</w:t>
            </w:r>
          </w:p>
        </w:tc>
      </w:tr>
      <w:tr w14:paraId="2DF6D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1" w:type="dxa"/>
            <w:vMerge w:val="restart"/>
            <w:vAlign w:val="center"/>
          </w:tcPr>
          <w:p w14:paraId="388CC196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教学目标</w:t>
            </w:r>
          </w:p>
          <w:p w14:paraId="0AEB6785">
            <w:pPr>
              <w:snapToGrid w:val="0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（10分）</w:t>
            </w:r>
          </w:p>
        </w:tc>
        <w:tc>
          <w:tcPr>
            <w:tcW w:w="4695" w:type="dxa"/>
            <w:gridSpan w:val="6"/>
            <w:vAlign w:val="center"/>
          </w:tcPr>
          <w:p w14:paraId="03EF0C7F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知识</w:t>
            </w:r>
            <w:r>
              <w:rPr>
                <w:rFonts w:asciiTheme="minorEastAsia" w:hAnsiTheme="minorEastAsia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能力</w:t>
            </w:r>
            <w:r>
              <w:rPr>
                <w:rFonts w:asciiTheme="minorEastAsia" w:hAnsiTheme="minorEastAsia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价值目标明确，</w:t>
            </w:r>
            <w:r>
              <w:rPr>
                <w:rFonts w:asciiTheme="minorEastAsia" w:hAnsiTheme="minorEastAsia"/>
                <w:sz w:val="21"/>
                <w:szCs w:val="21"/>
              </w:rPr>
              <w:t>切合教学大纲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要求</w:t>
            </w:r>
          </w:p>
        </w:tc>
        <w:tc>
          <w:tcPr>
            <w:tcW w:w="1140" w:type="dxa"/>
            <w:vAlign w:val="center"/>
          </w:tcPr>
          <w:p w14:paraId="04BF19F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472" w:type="dxa"/>
            <w:vMerge w:val="restart"/>
            <w:vAlign w:val="center"/>
          </w:tcPr>
          <w:p w14:paraId="3252CFB3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14:paraId="1CD95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1" w:type="dxa"/>
            <w:vMerge w:val="continue"/>
            <w:vAlign w:val="center"/>
          </w:tcPr>
          <w:p w14:paraId="71000FF3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695" w:type="dxa"/>
            <w:gridSpan w:val="6"/>
            <w:vAlign w:val="center"/>
          </w:tcPr>
          <w:p w14:paraId="2A70D550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目标阐述清楚明了</w:t>
            </w:r>
          </w:p>
        </w:tc>
        <w:tc>
          <w:tcPr>
            <w:tcW w:w="1140" w:type="dxa"/>
            <w:vAlign w:val="center"/>
          </w:tcPr>
          <w:p w14:paraId="45B4379A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472" w:type="dxa"/>
            <w:vMerge w:val="continue"/>
            <w:vAlign w:val="center"/>
          </w:tcPr>
          <w:p w14:paraId="2DC5EB1C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14:paraId="5A683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1" w:type="dxa"/>
            <w:vMerge w:val="restart"/>
            <w:vAlign w:val="center"/>
          </w:tcPr>
          <w:p w14:paraId="58928A4D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教学态度</w:t>
            </w:r>
          </w:p>
          <w:p w14:paraId="08D085D1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（</w:t>
            </w:r>
            <w:r>
              <w:rPr>
                <w:rFonts w:asciiTheme="minorEastAsia" w:hAnsiTheme="minorEastAsia"/>
                <w:sz w:val="21"/>
                <w:szCs w:val="21"/>
              </w:rPr>
              <w:t>15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分）</w:t>
            </w:r>
          </w:p>
        </w:tc>
        <w:tc>
          <w:tcPr>
            <w:tcW w:w="4695" w:type="dxa"/>
            <w:gridSpan w:val="6"/>
            <w:vAlign w:val="center"/>
          </w:tcPr>
          <w:p w14:paraId="42AA4E3C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备课认真、行为示范</w:t>
            </w:r>
          </w:p>
        </w:tc>
        <w:tc>
          <w:tcPr>
            <w:tcW w:w="1140" w:type="dxa"/>
            <w:vAlign w:val="center"/>
          </w:tcPr>
          <w:p w14:paraId="1A882D3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472" w:type="dxa"/>
            <w:vMerge w:val="restart"/>
            <w:vAlign w:val="center"/>
          </w:tcPr>
          <w:p w14:paraId="753A58A9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14:paraId="1A80D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1" w:type="dxa"/>
            <w:vMerge w:val="continue"/>
            <w:vAlign w:val="center"/>
          </w:tcPr>
          <w:p w14:paraId="6C0C96A4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695" w:type="dxa"/>
            <w:gridSpan w:val="6"/>
            <w:vAlign w:val="center"/>
          </w:tcPr>
          <w:p w14:paraId="39FBF96E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教态端正，仪表端庄，精神饱满</w:t>
            </w:r>
          </w:p>
        </w:tc>
        <w:tc>
          <w:tcPr>
            <w:tcW w:w="1140" w:type="dxa"/>
            <w:vAlign w:val="center"/>
          </w:tcPr>
          <w:p w14:paraId="129CC183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472" w:type="dxa"/>
            <w:vMerge w:val="continue"/>
            <w:vAlign w:val="center"/>
          </w:tcPr>
          <w:p w14:paraId="22B87C2F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14:paraId="7508F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1" w:type="dxa"/>
            <w:vMerge w:val="restart"/>
            <w:vAlign w:val="center"/>
          </w:tcPr>
          <w:p w14:paraId="5BAD8076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教学内容</w:t>
            </w:r>
          </w:p>
          <w:p w14:paraId="2A26094F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（20分）</w:t>
            </w:r>
          </w:p>
        </w:tc>
        <w:tc>
          <w:tcPr>
            <w:tcW w:w="4695" w:type="dxa"/>
            <w:gridSpan w:val="6"/>
            <w:vAlign w:val="center"/>
          </w:tcPr>
          <w:p w14:paraId="103FD865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知识正确，内容充实，容量适当</w:t>
            </w:r>
          </w:p>
        </w:tc>
        <w:tc>
          <w:tcPr>
            <w:tcW w:w="1140" w:type="dxa"/>
            <w:vAlign w:val="center"/>
          </w:tcPr>
          <w:p w14:paraId="7C5D531C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472" w:type="dxa"/>
            <w:vMerge w:val="restart"/>
            <w:vAlign w:val="center"/>
          </w:tcPr>
          <w:p w14:paraId="234A50C2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14:paraId="20207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1" w:type="dxa"/>
            <w:vMerge w:val="continue"/>
            <w:vAlign w:val="center"/>
          </w:tcPr>
          <w:p w14:paraId="742F07D2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695" w:type="dxa"/>
            <w:gridSpan w:val="6"/>
            <w:vAlign w:val="center"/>
          </w:tcPr>
          <w:p w14:paraId="4B4BF34E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重点难点突出、逻辑结构清晰</w:t>
            </w:r>
          </w:p>
        </w:tc>
        <w:tc>
          <w:tcPr>
            <w:tcW w:w="1140" w:type="dxa"/>
            <w:vAlign w:val="center"/>
          </w:tcPr>
          <w:p w14:paraId="3BC1E67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472" w:type="dxa"/>
            <w:vMerge w:val="continue"/>
            <w:vAlign w:val="center"/>
          </w:tcPr>
          <w:p w14:paraId="18B2D84B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14:paraId="21470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1" w:type="dxa"/>
            <w:vMerge w:val="continue"/>
            <w:vAlign w:val="center"/>
          </w:tcPr>
          <w:p w14:paraId="19217311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695" w:type="dxa"/>
            <w:gridSpan w:val="6"/>
            <w:vAlign w:val="center"/>
          </w:tcPr>
          <w:p w14:paraId="33481C3B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思政元素融入自然、有感染力、说服力</w:t>
            </w:r>
          </w:p>
        </w:tc>
        <w:tc>
          <w:tcPr>
            <w:tcW w:w="1140" w:type="dxa"/>
            <w:vAlign w:val="center"/>
          </w:tcPr>
          <w:p w14:paraId="706FE117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472" w:type="dxa"/>
            <w:vMerge w:val="continue"/>
            <w:vAlign w:val="center"/>
          </w:tcPr>
          <w:p w14:paraId="0F1B3182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14:paraId="44048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1" w:type="dxa"/>
            <w:vMerge w:val="restart"/>
            <w:vAlign w:val="center"/>
          </w:tcPr>
          <w:p w14:paraId="3E24182E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教学过程</w:t>
            </w:r>
          </w:p>
          <w:p w14:paraId="09C0708F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（10分）</w:t>
            </w:r>
          </w:p>
        </w:tc>
        <w:tc>
          <w:tcPr>
            <w:tcW w:w="4695" w:type="dxa"/>
            <w:gridSpan w:val="6"/>
            <w:vAlign w:val="center"/>
          </w:tcPr>
          <w:p w14:paraId="36AADB3E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教学组织有序，安排合理</w:t>
            </w:r>
          </w:p>
        </w:tc>
        <w:tc>
          <w:tcPr>
            <w:tcW w:w="1140" w:type="dxa"/>
            <w:vAlign w:val="center"/>
          </w:tcPr>
          <w:p w14:paraId="53A9A354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472" w:type="dxa"/>
            <w:vMerge w:val="restart"/>
            <w:vAlign w:val="center"/>
          </w:tcPr>
          <w:p w14:paraId="2DEBA422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14:paraId="57E45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1" w:type="dxa"/>
            <w:vMerge w:val="continue"/>
            <w:vAlign w:val="center"/>
          </w:tcPr>
          <w:p w14:paraId="7C7A5905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695" w:type="dxa"/>
            <w:gridSpan w:val="6"/>
            <w:vAlign w:val="center"/>
          </w:tcPr>
          <w:p w14:paraId="7CB61FA8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教学节奏适当，时间分配恰当</w:t>
            </w:r>
          </w:p>
        </w:tc>
        <w:tc>
          <w:tcPr>
            <w:tcW w:w="1140" w:type="dxa"/>
            <w:vAlign w:val="center"/>
          </w:tcPr>
          <w:p w14:paraId="71E96032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472" w:type="dxa"/>
            <w:vMerge w:val="continue"/>
            <w:vAlign w:val="center"/>
          </w:tcPr>
          <w:p w14:paraId="211C5B39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14:paraId="3D319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1" w:type="dxa"/>
            <w:vMerge w:val="restart"/>
            <w:vAlign w:val="center"/>
          </w:tcPr>
          <w:p w14:paraId="6D5D8B24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教学方式</w:t>
            </w:r>
          </w:p>
          <w:p w14:paraId="38AFC4D0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（2</w:t>
            </w:r>
            <w:r>
              <w:rPr>
                <w:rFonts w:asciiTheme="minorEastAsia" w:hAnsiTheme="minorEastAsia"/>
                <w:sz w:val="21"/>
                <w:szCs w:val="21"/>
              </w:rPr>
              <w:t>5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分）</w:t>
            </w:r>
          </w:p>
        </w:tc>
        <w:tc>
          <w:tcPr>
            <w:tcW w:w="4695" w:type="dxa"/>
            <w:gridSpan w:val="6"/>
            <w:vAlign w:val="center"/>
          </w:tcPr>
          <w:p w14:paraId="4A1E2638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板书、课件、教具等常规教学手段娴熟运用</w:t>
            </w:r>
          </w:p>
        </w:tc>
        <w:tc>
          <w:tcPr>
            <w:tcW w:w="1140" w:type="dxa"/>
            <w:vAlign w:val="center"/>
          </w:tcPr>
          <w:p w14:paraId="01AD1734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472" w:type="dxa"/>
            <w:vMerge w:val="restart"/>
            <w:vAlign w:val="center"/>
          </w:tcPr>
          <w:p w14:paraId="685FC5BC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14:paraId="0F474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1" w:type="dxa"/>
            <w:vMerge w:val="continue"/>
            <w:vAlign w:val="center"/>
          </w:tcPr>
          <w:p w14:paraId="33A25554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695" w:type="dxa"/>
            <w:gridSpan w:val="6"/>
            <w:vAlign w:val="center"/>
          </w:tcPr>
          <w:p w14:paraId="75B04D9B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结合教学目标有效运用现代信息技术手段</w:t>
            </w:r>
          </w:p>
        </w:tc>
        <w:tc>
          <w:tcPr>
            <w:tcW w:w="1140" w:type="dxa"/>
            <w:vAlign w:val="center"/>
          </w:tcPr>
          <w:p w14:paraId="079E2833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472" w:type="dxa"/>
            <w:vMerge w:val="continue"/>
            <w:vAlign w:val="center"/>
          </w:tcPr>
          <w:p w14:paraId="5978EDCA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14:paraId="4210D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1" w:type="dxa"/>
            <w:vMerge w:val="continue"/>
            <w:vAlign w:val="center"/>
          </w:tcPr>
          <w:p w14:paraId="3B78468B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695" w:type="dxa"/>
            <w:gridSpan w:val="6"/>
            <w:vAlign w:val="center"/>
          </w:tcPr>
          <w:p w14:paraId="103708EF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调动学生积极性，注重师生互动</w:t>
            </w:r>
          </w:p>
        </w:tc>
        <w:tc>
          <w:tcPr>
            <w:tcW w:w="1140" w:type="dxa"/>
            <w:vAlign w:val="center"/>
          </w:tcPr>
          <w:p w14:paraId="2A5E626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472" w:type="dxa"/>
            <w:vMerge w:val="continue"/>
            <w:vAlign w:val="center"/>
          </w:tcPr>
          <w:p w14:paraId="01F228B8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14:paraId="3309D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1" w:type="dxa"/>
            <w:vMerge w:val="continue"/>
            <w:vAlign w:val="center"/>
          </w:tcPr>
          <w:p w14:paraId="1ABF2658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695" w:type="dxa"/>
            <w:gridSpan w:val="6"/>
            <w:vAlign w:val="center"/>
          </w:tcPr>
          <w:p w14:paraId="322EBEDC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及时反馈学生学习情况</w:t>
            </w:r>
          </w:p>
        </w:tc>
        <w:tc>
          <w:tcPr>
            <w:tcW w:w="1140" w:type="dxa"/>
            <w:vAlign w:val="center"/>
          </w:tcPr>
          <w:p w14:paraId="465CBCF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472" w:type="dxa"/>
            <w:vMerge w:val="continue"/>
            <w:vAlign w:val="center"/>
          </w:tcPr>
          <w:p w14:paraId="6EC913CF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14:paraId="5AC2E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1" w:type="dxa"/>
            <w:vMerge w:val="restart"/>
            <w:vAlign w:val="center"/>
          </w:tcPr>
          <w:p w14:paraId="1B8EA1E5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学习管理</w:t>
            </w:r>
          </w:p>
          <w:p w14:paraId="49E59BAB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（10分）</w:t>
            </w:r>
          </w:p>
        </w:tc>
        <w:tc>
          <w:tcPr>
            <w:tcW w:w="4695" w:type="dxa"/>
            <w:gridSpan w:val="6"/>
            <w:vAlign w:val="center"/>
          </w:tcPr>
          <w:p w14:paraId="0891C1EC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到课率高</w:t>
            </w:r>
          </w:p>
        </w:tc>
        <w:tc>
          <w:tcPr>
            <w:tcW w:w="1140" w:type="dxa"/>
            <w:vAlign w:val="center"/>
          </w:tcPr>
          <w:p w14:paraId="5AC92332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472" w:type="dxa"/>
            <w:vMerge w:val="restart"/>
            <w:vAlign w:val="center"/>
          </w:tcPr>
          <w:p w14:paraId="7158124C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14:paraId="19677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1" w:type="dxa"/>
            <w:vMerge w:val="continue"/>
            <w:vAlign w:val="center"/>
          </w:tcPr>
          <w:p w14:paraId="01E54501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695" w:type="dxa"/>
            <w:gridSpan w:val="6"/>
            <w:vAlign w:val="center"/>
          </w:tcPr>
          <w:p w14:paraId="5394D748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课堂学习规范有序</w:t>
            </w:r>
          </w:p>
        </w:tc>
        <w:tc>
          <w:tcPr>
            <w:tcW w:w="1140" w:type="dxa"/>
            <w:vAlign w:val="center"/>
          </w:tcPr>
          <w:p w14:paraId="1013CD8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472" w:type="dxa"/>
            <w:vMerge w:val="continue"/>
            <w:vAlign w:val="center"/>
          </w:tcPr>
          <w:p w14:paraId="62C0CC38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14:paraId="63BCF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1" w:type="dxa"/>
            <w:vMerge w:val="restart"/>
            <w:vAlign w:val="center"/>
          </w:tcPr>
          <w:p w14:paraId="3239F25A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学习效果</w:t>
            </w:r>
          </w:p>
          <w:p w14:paraId="741339B7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（</w:t>
            </w:r>
            <w:r>
              <w:rPr>
                <w:rFonts w:asciiTheme="minorEastAsia" w:hAnsiTheme="minorEastAsia"/>
                <w:sz w:val="21"/>
                <w:szCs w:val="21"/>
              </w:rPr>
              <w:t>10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分）</w:t>
            </w:r>
          </w:p>
        </w:tc>
        <w:tc>
          <w:tcPr>
            <w:tcW w:w="4695" w:type="dxa"/>
            <w:gridSpan w:val="6"/>
            <w:vAlign w:val="center"/>
          </w:tcPr>
          <w:p w14:paraId="209A0536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课堂气氛活跃，学生参与度高</w:t>
            </w:r>
          </w:p>
        </w:tc>
        <w:tc>
          <w:tcPr>
            <w:tcW w:w="1140" w:type="dxa"/>
            <w:vAlign w:val="center"/>
          </w:tcPr>
          <w:p w14:paraId="4FC6B977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472" w:type="dxa"/>
            <w:vMerge w:val="restart"/>
            <w:vAlign w:val="center"/>
          </w:tcPr>
          <w:p w14:paraId="15C5E3B3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14:paraId="03672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1" w:type="dxa"/>
            <w:vMerge w:val="continue"/>
            <w:vAlign w:val="center"/>
          </w:tcPr>
          <w:p w14:paraId="63A3D78D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695" w:type="dxa"/>
            <w:gridSpan w:val="6"/>
            <w:vAlign w:val="center"/>
          </w:tcPr>
          <w:p w14:paraId="1F912EF1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学生课堂听课专心，达成教学目标</w:t>
            </w:r>
          </w:p>
        </w:tc>
        <w:tc>
          <w:tcPr>
            <w:tcW w:w="1140" w:type="dxa"/>
            <w:vAlign w:val="center"/>
          </w:tcPr>
          <w:p w14:paraId="1FC28A8D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472" w:type="dxa"/>
            <w:vMerge w:val="continue"/>
            <w:vAlign w:val="center"/>
          </w:tcPr>
          <w:p w14:paraId="054A0324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14:paraId="78246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16" w:type="dxa"/>
            <w:gridSpan w:val="7"/>
            <w:vAlign w:val="center"/>
          </w:tcPr>
          <w:p w14:paraId="283F1045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 xml:space="preserve">总 </w:t>
            </w:r>
            <w:r>
              <w:rPr>
                <w:rFonts w:asciiTheme="minorEastAsia" w:hAnsiTheme="minorEastAsia"/>
                <w:b/>
                <w:sz w:val="24"/>
              </w:rPr>
              <w:t xml:space="preserve">   </w:t>
            </w:r>
            <w:r>
              <w:rPr>
                <w:rFonts w:hint="eastAsia" w:asciiTheme="minorEastAsia" w:hAnsiTheme="minorEastAsia"/>
                <w:b/>
                <w:sz w:val="24"/>
              </w:rPr>
              <w:t>分</w:t>
            </w:r>
          </w:p>
        </w:tc>
        <w:tc>
          <w:tcPr>
            <w:tcW w:w="2612" w:type="dxa"/>
            <w:gridSpan w:val="2"/>
            <w:vAlign w:val="center"/>
          </w:tcPr>
          <w:p w14:paraId="165FE6C2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14:paraId="28337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1" w:hRule="atLeast"/>
        </w:trPr>
        <w:tc>
          <w:tcPr>
            <w:tcW w:w="8528" w:type="dxa"/>
            <w:gridSpan w:val="9"/>
            <w:vAlign w:val="center"/>
          </w:tcPr>
          <w:p w14:paraId="26FA2F3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</w:rPr>
              <w:t>总体评价与建议：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（请根据主要授课内容对教师授课的教学情况和学生学习效果等方面，结合实际情况，对本节课教师教学进行点评并提出具体建议）</w:t>
            </w:r>
          </w:p>
          <w:p w14:paraId="66F1295D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</w:p>
          <w:p w14:paraId="4CCCC853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</w:p>
          <w:p w14:paraId="692DA8FE">
            <w:pPr>
              <w:ind w:right="960"/>
              <w:jc w:val="both"/>
              <w:rPr>
                <w:rFonts w:asciiTheme="minorEastAsia" w:hAnsiTheme="minorEastAsia"/>
                <w:sz w:val="21"/>
                <w:szCs w:val="21"/>
              </w:rPr>
            </w:pPr>
            <w:bookmarkStart w:id="0" w:name="_GoBack"/>
            <w:bookmarkEnd w:id="0"/>
          </w:p>
          <w:p w14:paraId="17B91A47">
            <w:pPr>
              <w:ind w:right="960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  <w:p w14:paraId="3331CEE4">
            <w:pPr>
              <w:ind w:right="960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  <w:p w14:paraId="18DAC40B">
            <w:pPr>
              <w:ind w:right="960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  <w:p w14:paraId="1B9F8ADA">
            <w:pPr>
              <w:ind w:right="960"/>
              <w:jc w:val="center"/>
              <w:rPr>
                <w:rFonts w:ascii="黑体" w:hAnsi="黑体" w:eastAsia="黑体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/>
                <w:sz w:val="21"/>
                <w:szCs w:val="21"/>
              </w:rPr>
              <w:t xml:space="preserve">                                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听课人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签字：</w:t>
            </w:r>
            <w:r>
              <w:rPr>
                <w:rFonts w:hint="eastAsia" w:ascii="黑体" w:hAnsi="黑体" w:eastAsia="黑体"/>
                <w:sz w:val="21"/>
                <w:szCs w:val="21"/>
                <w:u w:val="single"/>
              </w:rPr>
              <w:t xml:space="preserve">          </w:t>
            </w:r>
          </w:p>
          <w:p w14:paraId="529E9128">
            <w:pPr>
              <w:ind w:right="96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 xml:space="preserve">                                         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时间：   年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 月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 日</w:t>
            </w:r>
          </w:p>
        </w:tc>
      </w:tr>
    </w:tbl>
    <w:p w14:paraId="1547B92C">
      <w:r>
        <w:rPr>
          <w:rFonts w:hint="eastAsia"/>
          <w:sz w:val="18"/>
          <w:szCs w:val="18"/>
        </w:rPr>
        <w:t>参考：优：</w:t>
      </w:r>
      <w:r>
        <w:rPr>
          <w:sz w:val="18"/>
          <w:szCs w:val="18"/>
        </w:rPr>
        <w:t>90</w:t>
      </w:r>
      <w:r>
        <w:rPr>
          <w:rFonts w:hint="eastAsia"/>
          <w:sz w:val="18"/>
          <w:szCs w:val="18"/>
        </w:rPr>
        <w:t>分及以上</w:t>
      </w:r>
      <w:r>
        <w:rPr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>良：</w:t>
      </w:r>
      <w:r>
        <w:rPr>
          <w:sz w:val="18"/>
          <w:szCs w:val="18"/>
        </w:rPr>
        <w:t>80-89</w:t>
      </w:r>
      <w:r>
        <w:rPr>
          <w:rFonts w:hint="eastAsia"/>
          <w:sz w:val="18"/>
          <w:szCs w:val="18"/>
        </w:rPr>
        <w:t>分</w:t>
      </w:r>
      <w:r>
        <w:rPr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>合格：</w:t>
      </w:r>
      <w:r>
        <w:rPr>
          <w:sz w:val="18"/>
          <w:szCs w:val="18"/>
        </w:rPr>
        <w:t>70-79</w:t>
      </w:r>
      <w:r>
        <w:rPr>
          <w:rFonts w:hint="eastAsia"/>
          <w:sz w:val="18"/>
          <w:szCs w:val="18"/>
        </w:rPr>
        <w:t>分</w:t>
      </w:r>
      <w:r>
        <w:rPr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>基本合格：</w:t>
      </w:r>
      <w:r>
        <w:rPr>
          <w:sz w:val="18"/>
          <w:szCs w:val="18"/>
        </w:rPr>
        <w:t>60-69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不合格：</w:t>
      </w:r>
      <w:r>
        <w:rPr>
          <w:sz w:val="18"/>
          <w:szCs w:val="18"/>
        </w:rPr>
        <w:t>60</w:t>
      </w:r>
      <w:r>
        <w:rPr>
          <w:rFonts w:hint="eastAsia"/>
          <w:sz w:val="18"/>
          <w:szCs w:val="18"/>
        </w:rPr>
        <w:t>分（不含）以下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95B"/>
    <w:rsid w:val="001A095B"/>
    <w:rsid w:val="007A5A0A"/>
    <w:rsid w:val="5C3F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484</Words>
  <Characters>508</Characters>
  <Lines>5</Lines>
  <Paragraphs>1</Paragraphs>
  <TotalTime>0</TotalTime>
  <ScaleCrop>false</ScaleCrop>
  <LinksUpToDate>false</LinksUpToDate>
  <CharactersWithSpaces>630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2025-04-01T06:14:00Z</dcterms:created>
  <dc:creator>蕾 王</dc:creator>
  <cp:lastModifiedBy>陈燕玲</cp:lastModifiedBy>
  <dcterms:modified xsi:type="dcterms:W3CDTF">2025-04-01T09:05:23Z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eyJoZGlkIjoiZTBiNjllYmFhNzM3ODE4MmRjODU0MDJjYzkzMDE2YjAiLCJ1c2VySWQiOiIxNTU1OTEyODYzIn0=</vt:lpwstr>
  </property>
  <property fmtid="{D5CDD505-2E9C-101B-9397-08002B2CF9AE}" pid="3" name="KSOProductBuildVer">
    <vt:lpwstr>2052-12.1.0.20305</vt:lpwstr>
  </property>
  <property fmtid="{D5CDD505-2E9C-101B-9397-08002B2CF9AE}" pid="4" name="ICV">
    <vt:lpwstr>FCDADE4BC26B476892293D0E11DE524C_12</vt:lpwstr>
  </property>
</Properties>
</file>